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Приложение № 2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к договору №_____ от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_</w:t>
      </w:r>
      <w:r>
        <w:rPr>
          <w:rFonts w:ascii="PT Astra Serif" w:hAnsi="PT Astra Serif" w:cs="PT Astra Serif"/>
          <w:sz w:val="20"/>
          <w:szCs w:val="20"/>
        </w:rPr>
        <w:t xml:space="preserve">___</w:t>
      </w:r>
      <w:r>
        <w:rPr>
          <w:rFonts w:ascii="PT Astra Serif" w:hAnsi="PT Astra Serif" w:cs="PT Astra Serif"/>
          <w:sz w:val="20"/>
          <w:szCs w:val="20"/>
        </w:rPr>
        <w:t xml:space="preserve">_____________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Инструкция по организации деятельности </w:t>
      </w:r>
      <w:r>
        <w:rPr>
          <w:rFonts w:ascii="PT Astra Serif" w:hAnsi="PT Astra Serif" w:cs="PT Astra Serif"/>
          <w:sz w:val="20"/>
          <w:szCs w:val="20"/>
        </w:rPr>
        <w:t xml:space="preserve">Участников</w:t>
      </w:r>
      <w:r>
        <w:rPr>
          <w:rFonts w:ascii="PT Astra Serif" w:hAnsi="PT Astra Serif" w:cs="PT Astra Serif"/>
          <w:sz w:val="20"/>
          <w:szCs w:val="20"/>
        </w:rPr>
        <w:t xml:space="preserve"> при передаче электронных платежных документов, подписанных электронной подписью.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720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1.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Термины и определения: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right="0" w:firstLine="0"/>
        <w:jc w:val="both"/>
        <w:rPr>
          <w:rFonts w:ascii="PT Astra Serif" w:hAnsi="PT Astra Serif" w:cs="PT Astra Serif"/>
          <w:b w:val="0"/>
          <w:bCs w:val="0"/>
          <w:sz w:val="20"/>
          <w:szCs w:val="20"/>
        </w:rPr>
        <w:suppressLineNumbers w:val="0"/>
      </w:pP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1.1.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Автоматизированная система (АС)</w:t>
      </w:r>
      <w:r>
        <w:rPr>
          <w:rFonts w:ascii="PT Astra Serif" w:hAnsi="PT Astra Serif" w:cs="PT Astra Serif"/>
          <w:sz w:val="20"/>
          <w:szCs w:val="20"/>
        </w:rPr>
        <w:t xml:space="preserve"> – программное обеспечение АС «Удаленное рабочее место», разработанное ООО «Информационные системы Криста», с помощью которого осуществляется отправка </w:t>
      </w: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электронных</w:t>
      </w: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 документов от </w:t>
      </w: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организации </w:t>
      </w: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Участника </w:t>
      </w: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в финансовый орган.</w:t>
      </w:r>
      <w:r>
        <w:rPr>
          <w:rFonts w:ascii="PT Astra Serif" w:hAnsi="PT Astra Serif" w:cs="PT Astra Serif"/>
          <w:b w:val="0"/>
          <w:bCs w:val="0"/>
          <w:sz w:val="20"/>
          <w:szCs w:val="20"/>
        </w:rPr>
      </w:r>
    </w:p>
    <w:p>
      <w:pPr>
        <w:pStyle w:val="616"/>
        <w:ind w:left="0" w:righ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1.2.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Средства электронной подписи (ЭП)</w:t>
      </w:r>
      <w:r>
        <w:rPr>
          <w:rFonts w:ascii="PT Astra Serif" w:hAnsi="PT Astra Serif" w:cs="PT Astra Serif"/>
          <w:sz w:val="20"/>
          <w:szCs w:val="20"/>
        </w:rPr>
        <w:t xml:space="preserve"> – аппаратные и (или) программные средства, обеспечивающие формирование ЭП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righ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1.3.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Закрытый ключ Э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П</w:t>
      </w:r>
      <w:r>
        <w:rPr>
          <w:rFonts w:ascii="PT Astra Serif" w:hAnsi="PT Astra Serif" w:cs="PT Astra Serif"/>
          <w:sz w:val="20"/>
          <w:szCs w:val="20"/>
        </w:rPr>
        <w:t xml:space="preserve"> – уникальная последовательность символов, предназначенная для формирования ЭП под электронным документом, является конфиденциальной информацией, относится к средствам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righ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1.4.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Открытый ключ ЭП</w:t>
      </w:r>
      <w:r>
        <w:rPr>
          <w:rFonts w:ascii="PT Astra Serif" w:hAnsi="PT Astra Serif" w:cs="PT Astra Serif"/>
          <w:sz w:val="20"/>
          <w:szCs w:val="20"/>
        </w:rPr>
        <w:t xml:space="preserve"> – уникальная последовательность символов, предназначенная для проверки ЭП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righ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1.5.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Сертификат открытого ключа ЭП</w:t>
      </w:r>
      <w:r>
        <w:rPr>
          <w:rFonts w:ascii="PT Astra Serif" w:hAnsi="PT Astra Serif" w:cs="PT Astra Serif"/>
          <w:sz w:val="20"/>
          <w:szCs w:val="20"/>
        </w:rPr>
        <w:t xml:space="preserve"> – электронный документ, содержащий реквизиты владельца закрытого ключа ЭП, а также открытый ключ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right="0" w:firstLine="0"/>
        <w:jc w:val="both"/>
        <w:rPr>
          <w:rFonts w:ascii="PT Astra Serif" w:hAnsi="PT Astra Serif" w:cs="PT Astra Serif"/>
          <w:sz w:val="20"/>
          <w:szCs w:val="20"/>
        </w:rPr>
        <w:suppressLineNumbers w:val="0"/>
      </w:pPr>
      <w:r>
        <w:rPr>
          <w:rFonts w:ascii="PT Astra Serif" w:hAnsi="PT Astra Serif" w:cs="PT Astra Serif"/>
          <w:b w:val="0"/>
          <w:bCs w:val="0"/>
          <w:sz w:val="20"/>
          <w:szCs w:val="20"/>
        </w:rPr>
        <w:t xml:space="preserve">1.6. </w:t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Ключевой носитель </w:t>
      </w:r>
      <w:r>
        <w:rPr>
          <w:rFonts w:ascii="PT Astra Serif" w:hAnsi="PT Astra Serif" w:cs="PT Astra Serif"/>
          <w:sz w:val="20"/>
          <w:szCs w:val="20"/>
        </w:rPr>
        <w:t xml:space="preserve">– аппаратное устройство, на котором записан Закрытый ключ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792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720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2. </w:t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Общие положения: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2.1. Настоящая инструкция определяет: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перечень ответственных должностных лиц и процедуру их назначения;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обязанности ответственных должностных лиц;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порядок хранения Средств ЭП;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порядок использования Средств ЭП в АС;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организацию безопасности рабочих мест ответственных лиц;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2.2. Настоящая инструкция предназначена для организаций – </w:t>
      </w:r>
      <w:r>
        <w:rPr>
          <w:rFonts w:ascii="PT Astra Serif" w:hAnsi="PT Astra Serif" w:cs="PT Astra Serif"/>
          <w:sz w:val="20"/>
          <w:szCs w:val="20"/>
        </w:rPr>
        <w:t xml:space="preserve">владельцев лицевых счетов</w:t>
      </w:r>
      <w:r>
        <w:rPr>
          <w:rFonts w:ascii="PT Astra Serif" w:hAnsi="PT Astra Serif" w:cs="PT Astra Serif"/>
          <w:sz w:val="20"/>
          <w:szCs w:val="20"/>
        </w:rPr>
        <w:t xml:space="preserve">,</w:t>
      </w:r>
      <w:r>
        <w:rPr>
          <w:rFonts w:ascii="PT Astra Serif" w:hAnsi="PT Astra Serif" w:cs="PT Astra Serif"/>
          <w:sz w:val="20"/>
          <w:szCs w:val="20"/>
        </w:rPr>
        <w:t xml:space="preserve"> открытых в министерстве финансов Саратовской области и финансовых органах области</w:t>
      </w:r>
      <w:r>
        <w:rPr>
          <w:rFonts w:ascii="PT Astra Serif" w:hAnsi="PT Astra Serif" w:cs="PT Astra Serif"/>
          <w:sz w:val="20"/>
          <w:szCs w:val="20"/>
        </w:rPr>
        <w:t xml:space="preserve"> (Участников).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2.3. Настоящая инструкция является обязательной для исполнения руководителем и назначенными ответственными лицами </w:t>
      </w:r>
      <w:r>
        <w:rPr>
          <w:rFonts w:ascii="PT Astra Serif" w:hAnsi="PT Astra Serif" w:cs="PT Astra Serif"/>
          <w:sz w:val="20"/>
          <w:szCs w:val="20"/>
        </w:rPr>
        <w:t xml:space="preserve">Участник</w:t>
      </w:r>
      <w:r>
        <w:rPr>
          <w:rFonts w:ascii="PT Astra Serif" w:hAnsi="PT Astra Serif" w:cs="PT Astra Serif"/>
          <w:sz w:val="20"/>
          <w:szCs w:val="20"/>
        </w:rPr>
        <w:t xml:space="preserve">ов</w:t>
      </w:r>
      <w:r>
        <w:rPr>
          <w:rFonts w:ascii="PT Astra Serif" w:hAnsi="PT Astra Serif" w:cs="PT Astra Serif"/>
          <w:sz w:val="20"/>
          <w:szCs w:val="20"/>
        </w:rPr>
        <w:t xml:space="preserve">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792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720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3. </w:t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Перечень, порядок назначения и обязанности ответственных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3.1. Перечень ответственных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3.1.1. При передаче Участником платежных документов необходимо назначить следующих ответственных должностных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Ответственный </w:t>
      </w:r>
      <w:r>
        <w:rPr>
          <w:rFonts w:ascii="PT Astra Serif" w:hAnsi="PT Astra Serif" w:cs="PT Astra Serif"/>
          <w:sz w:val="20"/>
          <w:szCs w:val="20"/>
        </w:rPr>
        <w:t xml:space="preserve">сотрудник за хранение средств Э</w:t>
      </w:r>
      <w:r>
        <w:rPr>
          <w:rFonts w:ascii="PT Astra Serif" w:hAnsi="PT Astra Serif" w:cs="PT Astra Serif"/>
          <w:sz w:val="20"/>
          <w:szCs w:val="20"/>
        </w:rPr>
        <w:t xml:space="preserve">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3.1.2. Для обеспечения оперативной работы рекомендуется назначать как минимум двух сотруднико</w:t>
      </w:r>
      <w:r>
        <w:rPr>
          <w:rFonts w:ascii="PT Astra Serif" w:hAnsi="PT Astra Serif" w:cs="PT Astra Serif"/>
          <w:sz w:val="20"/>
          <w:szCs w:val="20"/>
        </w:rPr>
        <w:t xml:space="preserve">в, уполномоченных формировать Э</w:t>
      </w:r>
      <w:r>
        <w:rPr>
          <w:rFonts w:ascii="PT Astra Serif" w:hAnsi="PT Astra Serif" w:cs="PT Astra Serif"/>
          <w:sz w:val="20"/>
          <w:szCs w:val="20"/>
        </w:rPr>
        <w:t xml:space="preserve">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720" w:hanging="720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3.2.</w:t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 </w:t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Порядок назначения ответственных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3.2.1. Ответственные лица, указанные в пунктах 3.1.1-3.1.2 назначаются и освобождаются от обязанностей руководителем.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3.2.2. Ответственные лица назначаются из числа сотрудников Участника.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3.3. Обязанности ответственных лиц: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3.3.1. Сотрудник, уполномоченный формировать ЭП под электронным документом обязан: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 разглашать конфиденциальную информацию, к которой они допущены, рубежи ее защиты, в том числе пароли и сведения о ключах ЭП;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Соблюдать требования данной Инструкции к обеспечению безопасности конфиденциальной информации;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Сообщать руководителю организации о ставших ему известными попытках посторонних лиц получить сведения конфиденциального характера;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Уничтожить закрытый ключ ЭП, в порядке, установленном настоящей Инструкцией, передать средства ЭП, эксплуатационную документацию руководителю организации при увольнении или освобождении от исполнения обязанностей с</w:t>
      </w:r>
      <w:r>
        <w:rPr>
          <w:rFonts w:ascii="PT Astra Serif" w:hAnsi="PT Astra Serif" w:cs="PT Astra Serif"/>
          <w:sz w:val="20"/>
          <w:szCs w:val="20"/>
        </w:rPr>
        <w:t xml:space="preserve">отрудника, уполномоченного формировать ЭП под электронным документом;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Немедленно уведомлять руководителя организации о </w:t>
      </w:r>
      <w:r>
        <w:rPr>
          <w:rFonts w:ascii="PT Astra Serif" w:hAnsi="PT Astra Serif" w:cs="PT Astra Serif"/>
          <w:sz w:val="20"/>
          <w:szCs w:val="20"/>
        </w:rPr>
        <w:t xml:space="preserve">фактах утраты Закрытого ключа Э</w:t>
      </w:r>
      <w:r>
        <w:rPr>
          <w:rFonts w:ascii="PT Astra Serif" w:hAnsi="PT Astra Serif" w:cs="PT Astra Serif"/>
          <w:sz w:val="20"/>
          <w:szCs w:val="20"/>
        </w:rPr>
        <w:t xml:space="preserve">П, умышленного или неумышленного повреждения АС и Средств ЭП,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 нарушать процедуру отправления и подписания электронного плате</w:t>
      </w:r>
      <w:r>
        <w:rPr>
          <w:rFonts w:ascii="PT Astra Serif" w:hAnsi="PT Astra Serif" w:cs="PT Astra Serif"/>
          <w:sz w:val="20"/>
          <w:szCs w:val="20"/>
        </w:rPr>
        <w:t xml:space="preserve">жного документа, подписанного Э</w:t>
      </w:r>
      <w:r>
        <w:rPr>
          <w:rFonts w:ascii="PT Astra Serif" w:hAnsi="PT Astra Serif" w:cs="PT Astra Serif"/>
          <w:sz w:val="20"/>
          <w:szCs w:val="20"/>
        </w:rPr>
        <w:t xml:space="preserve">П, описанную в пункте 5 настоящей Инструкции;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Сдавать на хранение ключевой носитель с Закрытым ключом ЭП, всякий раз, когда в его использовании нет необходимости, а также в конце рабочего дня, в порядке, установленном настоящей Инструкцией;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Неукоснительно соблюдать все положения настоящей инструкции.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 w:firstLine="0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3.3.2. Ответственный </w:t>
      </w:r>
      <w:r>
        <w:rPr>
          <w:rFonts w:ascii="PT Astra Serif" w:hAnsi="PT Astra Serif" w:cs="PT Astra Serif"/>
          <w:sz w:val="20"/>
          <w:szCs w:val="20"/>
        </w:rPr>
        <w:t xml:space="preserve">сотрудник за хранение средств Э</w:t>
      </w:r>
      <w:r>
        <w:rPr>
          <w:rFonts w:ascii="PT Astra Serif" w:hAnsi="PT Astra Serif" w:cs="PT Astra Serif"/>
          <w:sz w:val="20"/>
          <w:szCs w:val="20"/>
        </w:rPr>
        <w:t xml:space="preserve">П обязан: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 разглашать конфиденциальную информацию, к которой они допущены, рубежи ее защиты, в том числе пароли и сведения о ключах ЭП;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Соблюдать требования настоящей Инструкции к обеспечению безопасности конфиденциальной информации;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Сообщать руководителю организации о ставших ему известными попытках посторонних лиц получить сведения конфиденциального характера;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Обеспечить хранение, выдачу и учет средств ЭП в порядке, установленном настоящей Инструкцией;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Выдавать ключевые носители с записанными на них Закрытыми ключами ЭП исключительно </w:t>
      </w:r>
      <w:r>
        <w:rPr>
          <w:rFonts w:ascii="PT Astra Serif" w:hAnsi="PT Astra Serif" w:cs="PT Astra Serif"/>
          <w:sz w:val="20"/>
          <w:szCs w:val="20"/>
        </w:rPr>
        <w:t xml:space="preserve">сотрудникам, уполномоченным формировать ЭП под электронным документом;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Немедленно уведомлять руководителя организации о фактах недостачи Средств ЭП;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1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Неукоснительно соблюдать все положения настоящей инструкции.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720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</w:p>
    <w:p>
      <w:pPr>
        <w:pStyle w:val="616"/>
        <w:ind w:left="0" w:firstLine="720"/>
        <w:rPr>
          <w:rFonts w:ascii="PT Astra Serif" w:hAnsi="PT Astra Serif" w:cs="PT Astra Serif"/>
          <w:b/>
          <w:bCs/>
          <w:sz w:val="20"/>
          <w:szCs w:val="20"/>
          <w:highlight w:val="none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4. </w:t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Порядок хранения Средств ЭП: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22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4.1. Все полученные (закупленные) Средства ЭП хранятся непосредственно у Участника.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4.2. Ответственный сотрудник за хранение Средств ЭП обязан принять их на хранение, сделав пометку в журнале приема/выдачи ключевых носителей, форма которого представлена в приложении к настоящей Инструкции.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4.3. Все Средства ЭП, а также пароли, пин-коды и т.п. хранятся в сейфе, кроме установленного на рабочее место АС программного обеспечения.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4.4. Ключи от сейфа хранить в месте, обеспечивающем возможность постоянного контроля за ними. В случае наличия замка с шифром, предотвращать разглашение шифра.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4.5. Дубликат ключей от сейфа находится у руководителя организации в опечатанном конверте.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4.6. Всякий раз, когда необходимо использовать Средства ЭП, в частности ключевой носитель с Закрытым ключом ЭП, </w:t>
      </w: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документом, принимает ключевой носитель под роспись в журнале приема/выдачи ключевых носителей.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4.7. После использования ключевого носителя сотрудник, ответственный за хранение Средств ЭП принимает ключевой носитель под роспись, делая пометку в журнале приема/выдачи ключевых носителей.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0"/>
        <w:rPr>
          <w:rFonts w:ascii="PT Astra Serif" w:hAnsi="PT Astra Serif" w:cs="PT Astra Serif"/>
          <w:b/>
          <w:bCs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</w:p>
    <w:p>
      <w:pPr>
        <w:pStyle w:val="616"/>
        <w:ind w:left="0" w:firstLine="720"/>
        <w:rPr>
          <w:rFonts w:ascii="PT Astra Serif" w:hAnsi="PT Astra Serif" w:cs="PT Astra Serif"/>
          <w:b/>
          <w:bCs/>
          <w:sz w:val="20"/>
          <w:szCs w:val="20"/>
          <w:highlight w:val="none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5. </w:t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Порядок использования Средств ЭП в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5.1. Средства ЭП используются исключительно для формирования ЭП под электронным документом в электронном документообороте, реализованном средствами АС.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5.2. Использование средств криптозащиты информации при других организационно-правовых или финансовых отношениях строго запрещено.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5.3. Процедура отправки и подписи электронного документа ЭП,  осуществляется следующим образом: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</w:t>
      </w:r>
      <w:r>
        <w:rPr>
          <w:rFonts w:ascii="PT Astra Serif" w:hAnsi="PT Astra Serif" w:cs="PT Astra Serif"/>
          <w:sz w:val="20"/>
          <w:szCs w:val="20"/>
        </w:rPr>
        <w:t xml:space="preserve">, средствами АС, формируется электронный документ;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Документ распечатывается на бумажном носителе в одном экземпляре. На распечатанном документе ставятся подписи ответственных должностных лиц, и ставится печать Участника;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Документ  на бумажном носителе, подписанный ответственными лицами и заверенный печатью передается </w:t>
      </w:r>
      <w:r>
        <w:rPr>
          <w:rFonts w:ascii="PT Astra Serif" w:hAnsi="PT Astra Serif" w:cs="PT Astra Serif"/>
          <w:sz w:val="20"/>
          <w:szCs w:val="20"/>
        </w:rPr>
        <w:t xml:space="preserve">сотруднику, уполномоченному формировать ЭП под электронным документом,</w:t>
      </w:r>
      <w:r>
        <w:rPr>
          <w:rFonts w:ascii="PT Astra Serif" w:hAnsi="PT Astra Serif" w:cs="PT Astra Serif"/>
          <w:sz w:val="20"/>
          <w:szCs w:val="20"/>
        </w:rPr>
        <w:t xml:space="preserve"> и является основанием для отправки электронного документа подписанного ЭП;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документом,</w:t>
      </w:r>
      <w:r>
        <w:rPr>
          <w:rFonts w:ascii="PT Astra Serif" w:hAnsi="PT Astra Serif" w:cs="PT Astra Serif"/>
          <w:sz w:val="20"/>
          <w:szCs w:val="20"/>
        </w:rPr>
        <w:t xml:space="preserve"> удостоверяется в подлинности подписей и печати, поставленных на документе;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документом,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b/>
          <w:sz w:val="20"/>
          <w:szCs w:val="20"/>
        </w:rPr>
        <w:t xml:space="preserve">в обязательном порядке, в случае установки АС в сетевой конфигурации, обязан обеспечить прекращение работы АС на всех рабочих местах, кроме рабочего места, с которого будет осуществляться отправка документов и их подпись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Для актуализации данных и удостоверения того, что подписываются документы, по своему содержанию соответствующие подписанным ответственными лицами на бумажных носителях, </w:t>
      </w: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b/>
          <w:sz w:val="20"/>
          <w:szCs w:val="20"/>
        </w:rPr>
        <w:t xml:space="preserve">обязан </w:t>
      </w:r>
      <w:r>
        <w:rPr>
          <w:rFonts w:ascii="PT Astra Serif" w:hAnsi="PT Astra Serif" w:cs="PT Astra Serif"/>
          <w:sz w:val="20"/>
          <w:szCs w:val="20"/>
        </w:rPr>
        <w:t xml:space="preserve">на рабочем месте, с которого будет отправляться документ нажать в интерфейсе АС  кнопку </w:t>
      </w:r>
      <w:r>
        <w:rPr>
          <w:rFonts w:ascii="PT Astra Serif" w:hAnsi="PT Astra Serif" w:cs="PT Astra Serif"/>
          <w:b/>
          <w:sz w:val="20"/>
          <w:szCs w:val="20"/>
        </w:rPr>
        <w:t xml:space="preserve">«Выполнить»,</w:t>
      </w:r>
      <w:r>
        <w:rPr>
          <w:rFonts w:ascii="PT Astra Serif" w:hAnsi="PT Astra Serif" w:cs="PT Astra Serif"/>
          <w:sz w:val="20"/>
          <w:szCs w:val="20"/>
        </w:rPr>
        <w:t xml:space="preserve"> после чего сравнить данные документа на бумажном носителе с электронным аналогом.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 случае положительного результата проверки, </w:t>
      </w:r>
      <w:r>
        <w:rPr>
          <w:rFonts w:ascii="PT Astra Serif" w:hAnsi="PT Astra Serif" w:cs="PT Astra Serif"/>
          <w:sz w:val="20"/>
          <w:szCs w:val="20"/>
        </w:rPr>
        <w:t xml:space="preserve">сотрудник, уп</w:t>
      </w:r>
      <w:r>
        <w:rPr>
          <w:rFonts w:ascii="PT Astra Serif" w:hAnsi="PT Astra Serif" w:cs="PT Astra Serif"/>
          <w:sz w:val="20"/>
          <w:szCs w:val="20"/>
        </w:rPr>
        <w:t xml:space="preserve">олномоченный формировать Э</w:t>
      </w:r>
      <w:r>
        <w:rPr>
          <w:rFonts w:ascii="PT Astra Serif" w:hAnsi="PT Astra Serif" w:cs="PT Astra Serif"/>
          <w:sz w:val="20"/>
          <w:szCs w:val="20"/>
        </w:rPr>
        <w:t xml:space="preserve">П под электронным документом,</w:t>
      </w:r>
      <w:r>
        <w:rPr>
          <w:rFonts w:ascii="PT Astra Serif" w:hAnsi="PT Astra Serif" w:cs="PT Astra Serif"/>
          <w:sz w:val="20"/>
          <w:szCs w:val="20"/>
        </w:rPr>
        <w:t xml:space="preserve"> получает под роспись ключевой носитель, и присоединяет к соответствующему порту (дисководу), находящемуся на системном блоке.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 случае отрицательного результата проверки </w:t>
      </w: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документом,</w:t>
      </w:r>
      <w:r>
        <w:rPr>
          <w:rFonts w:ascii="PT Astra Serif" w:hAnsi="PT Astra Serif" w:cs="PT Astra Serif"/>
          <w:sz w:val="20"/>
          <w:szCs w:val="20"/>
        </w:rPr>
        <w:t xml:space="preserve"> сообщает об этом руководителю организации Участника системы электронного документа оборота.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Сотрудник, уполномоченный формировать ЭП под электронным документом,</w:t>
      </w: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  <w:t xml:space="preserve">производит отправку документа средствами АС.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После отправления документа необходимо извлечь ключевой носитель из порта (дисковода).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Сдать ключевой носитель ответственному за хранение средств ЭП.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В случае правильного выполнения всего алгоритма пункта 5, подпунктов 5.1-5.3, и в случае отсутствия ошибок выданных АС документ считается отправленным верно.</w:t>
      </w:r>
      <w:r>
        <w:rPr>
          <w:rFonts w:ascii="PT Astra Serif" w:hAnsi="PT Astra Serif" w:cs="PT Astra Serif"/>
          <w:sz w:val="20"/>
          <w:szCs w:val="20"/>
        </w:rPr>
      </w:r>
    </w:p>
    <w:p>
      <w:pPr>
        <w:ind w:left="0" w:firstLine="720"/>
        <w:rPr>
          <w:rFonts w:ascii="PT Astra Serif" w:hAnsi="PT Astra Serif" w:cs="PT Astra Serif"/>
          <w:b/>
          <w:bCs/>
          <w:sz w:val="20"/>
          <w:szCs w:val="20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  <w:r>
        <w:rPr>
          <w:rFonts w:ascii="PT Astra Serif" w:hAnsi="PT Astra Serif" w:cs="PT Astra Serif"/>
          <w:b/>
          <w:bCs/>
          <w:sz w:val="20"/>
          <w:szCs w:val="20"/>
          <w:highlight w:val="none"/>
        </w:rPr>
      </w:r>
    </w:p>
    <w:p>
      <w:pPr>
        <w:pStyle w:val="616"/>
        <w:ind w:left="0" w:firstLine="720"/>
        <w:rPr>
          <w:rFonts w:ascii="PT Astra Serif" w:hAnsi="PT Astra Serif" w:cs="PT Astra Serif"/>
          <w:b/>
          <w:bCs/>
          <w:sz w:val="20"/>
          <w:szCs w:val="20"/>
          <w:highlight w:val="none"/>
        </w:rPr>
        <w:suppressLineNumbers w:val="0"/>
      </w:pPr>
      <w:r>
        <w:rPr>
          <w:rFonts w:ascii="PT Astra Serif" w:hAnsi="PT Astra Serif" w:cs="PT Astra Serif"/>
          <w:b/>
          <w:bCs/>
          <w:sz w:val="20"/>
          <w:szCs w:val="20"/>
        </w:rPr>
        <w:t xml:space="preserve">6. </w:t>
      </w:r>
      <w:r>
        <w:rPr>
          <w:rFonts w:ascii="PT Astra Serif" w:hAnsi="PT Astra Serif" w:cs="PT Astra Serif"/>
          <w:b/>
          <w:bCs/>
          <w:sz w:val="20"/>
          <w:szCs w:val="20"/>
        </w:rPr>
      </w:r>
      <w:r>
        <w:rPr>
          <w:rFonts w:ascii="PT Astra Serif" w:hAnsi="PT Astra Serif" w:cs="PT Astra Serif"/>
          <w:b/>
          <w:bCs/>
          <w:sz w:val="20"/>
          <w:szCs w:val="20"/>
        </w:rPr>
        <w:t xml:space="preserve">Организация безопасности рабочего места с установленной АС: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6.1. Рабочая станция, с установленной АС и средствами ЭП, размещается так чтобы доступ к ней был ограничен кругом лиц, имеющим право формировать ЭП под электронным документом.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6.2. Системный блок рабочей станции должен быть опломбирован или опечатан.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6.3. Рабочая станция имеет только одно сетевое соединение с сервером АС, находящимся у Организатора. 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6.4. В качестве ключевых носителей используются только съемные аппаратные устройства.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6.5. Пароли для входа в операционную систему и для аутентификации на сервере должен храниться в тайне и меняться не реже одного раза в три месяца.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0" w:firstLine="0"/>
        <w:jc w:val="both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6.6. В случае необходимости замены сотрудника, уполномоченного формировать ЭП под электронным документом, оповестить об этом ответственного сотрудника Организатора.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708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708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24"/>
        <w:gridCol w:w="4824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b/>
                <w:sz w:val="20"/>
                <w:szCs w:val="20"/>
              </w:rPr>
            </w:pPr>
            <w:r>
              <w:rPr>
                <w:rFonts w:ascii="PT Astra Serif" w:hAnsi="PT Astra Serif" w:cs="PT Astra Serif"/>
                <w:b/>
                <w:sz w:val="20"/>
                <w:szCs w:val="20"/>
              </w:rPr>
              <w:t xml:space="preserve"> От Организатора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b/>
                <w:sz w:val="20"/>
                <w:szCs w:val="20"/>
              </w:rPr>
            </w:pPr>
            <w:r>
              <w:rPr>
                <w:rFonts w:ascii="PT Astra Serif" w:hAnsi="PT Astra Serif" w:cs="PT Astra Serif"/>
                <w:b/>
                <w:sz w:val="20"/>
                <w:szCs w:val="20"/>
              </w:rPr>
              <w:t xml:space="preserve"> От Участника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Заместитель министра финансов Саратовской области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________________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 /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 Е.А. Петькин 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/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«___» ________________ 20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2_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 года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                    м.п.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4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___________________________________________________________________________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_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  <w:lang w:val="en-US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  <w:highlight w:val="none"/>
              </w:rPr>
            </w:r>
            <w:r>
              <w:rPr>
                <w:rFonts w:ascii="PT Astra Serif" w:hAnsi="PT Astra Serif" w:cs="PT Astra Serif"/>
                <w:sz w:val="20"/>
                <w:szCs w:val="20"/>
                <w:highlight w:val="none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  <w:highlight w:val="none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___________________ /</w:t>
            </w:r>
            <w:r>
              <w:rPr>
                <w:rFonts w:ascii="PT Astra Serif" w:hAnsi="PT Astra Serif" w:cs="PT Astra Serif"/>
                <w:sz w:val="20"/>
                <w:szCs w:val="20"/>
                <w:lang w:val="en-US"/>
              </w:rPr>
              <w:t xml:space="preserve">                                  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 /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«___» ________________ 20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2_</w:t>
            </w:r>
            <w:r>
              <w:rPr>
                <w:rFonts w:ascii="PT Astra Serif" w:hAnsi="PT Astra Serif" w:cs="PT Astra Serif"/>
                <w:sz w:val="20"/>
                <w:szCs w:val="20"/>
              </w:rPr>
              <w:t xml:space="preserve"> года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                    м.п.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</w:tr>
    </w:tbl>
    <w:p>
      <w:pPr>
        <w:pStyle w:val="616"/>
        <w:ind w:left="708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36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bCs/>
          <w:sz w:val="20"/>
          <w:szCs w:val="20"/>
        </w:rPr>
        <w:br w:type="page" w:clear="all"/>
      </w:r>
      <w:r>
        <w:rPr>
          <w:rFonts w:ascii="PT Astra Serif" w:hAnsi="PT Astra Serif" w:cs="PT Astra Serif"/>
          <w:sz w:val="20"/>
          <w:szCs w:val="20"/>
        </w:rPr>
        <w:t xml:space="preserve">Приложение к инструкции по организации деятельности получателей и главных распорядителей бюджетных средств, при передаче электронных платежных документов, подписанных электронной подписью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36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Форма ж</w:t>
      </w:r>
      <w:r>
        <w:rPr>
          <w:rFonts w:ascii="PT Astra Serif" w:hAnsi="PT Astra Serif" w:cs="PT Astra Serif"/>
          <w:sz w:val="20"/>
          <w:szCs w:val="20"/>
        </w:rPr>
        <w:t xml:space="preserve">урнала приема/выдачи ключевых носителей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b/>
          <w:sz w:val="20"/>
          <w:szCs w:val="20"/>
        </w:rPr>
        <w:t xml:space="preserve">«Журнал учета использования ключевых носителей»</w:t>
      </w:r>
      <w:r>
        <w:rPr>
          <w:rFonts w:ascii="PT Astra Serif" w:hAnsi="PT Astra Serif" w:cs="PT Astra Serif"/>
          <w:sz w:val="20"/>
          <w:szCs w:val="20"/>
        </w:rPr>
        <w:t xml:space="preserve">. </w:t>
      </w: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4"/>
        <w:gridCol w:w="1006"/>
        <w:gridCol w:w="1080"/>
        <w:gridCol w:w="1440"/>
        <w:gridCol w:w="1080"/>
        <w:gridCol w:w="1080"/>
        <w:gridCol w:w="1260"/>
        <w:gridCol w:w="900"/>
        <w:gridCol w:w="1080"/>
      </w:tblGrid>
      <w:tr>
        <w:trPr>
          <w:trHeight w:val="1440"/>
        </w:trPr>
        <w:tc>
          <w:tcPr>
            <w:tcW w:w="434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№ п/п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006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Название ключевого носителя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080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Номер ключевого носителя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440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ФИО уполномоченного лица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080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Дата, время  выдачи ключ. носителя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080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Подпись уполномоч. лица. 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260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Дата и время сдачи ключ. носителя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900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Подпись отв. за хранение.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  <w:tc>
          <w:tcPr>
            <w:tcW w:w="1080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 w:cs="PT Astra Serif"/>
                <w:sz w:val="20"/>
                <w:szCs w:val="20"/>
              </w:rPr>
            </w:pPr>
            <w:r>
              <w:rPr>
                <w:rFonts w:ascii="PT Astra Serif" w:hAnsi="PT Astra Serif" w:cs="PT Astra Serif"/>
                <w:sz w:val="20"/>
                <w:szCs w:val="20"/>
              </w:rPr>
              <w:t xml:space="preserve">Примечание</w:t>
            </w:r>
            <w:r>
              <w:rPr>
                <w:rFonts w:ascii="PT Astra Serif" w:hAnsi="PT Astra Serif" w:cs="PT Astra Serif"/>
                <w:sz w:val="20"/>
                <w:szCs w:val="20"/>
              </w:rPr>
            </w:r>
          </w:p>
        </w:tc>
      </w:tr>
    </w:tbl>
    <w:p>
      <w:pPr>
        <w:pStyle w:val="616"/>
        <w:jc w:val="center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jc w:val="center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Журнал учета использования ключевых носителей должен быть прошит и опечатан.</w:t>
      </w:r>
      <w:r>
        <w:rPr>
          <w:rFonts w:ascii="PT Astra Serif" w:hAnsi="PT Astra Serif" w:cs="PT Astra Serif"/>
          <w:sz w:val="20"/>
          <w:szCs w:val="20"/>
        </w:rPr>
      </w:r>
    </w:p>
    <w:p>
      <w:pPr>
        <w:pStyle w:val="616"/>
        <w:ind w:left="360"/>
        <w:jc w:val="right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cs="PT Astra Serif"/>
          <w:sz w:val="20"/>
          <w:szCs w:val="20"/>
        </w:rPr>
        <w:t xml:space="preserve"> </w:t>
      </w:r>
      <w:r>
        <w:rPr>
          <w:rFonts w:ascii="PT Astra Serif" w:hAnsi="PT Astra Serif" w:cs="PT Astra Serif"/>
          <w:sz w:val="20"/>
          <w:szCs w:val="20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709" w:right="850" w:bottom="1134" w:left="1276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1"/>
      <w:jc w:val="center"/>
    </w:pPr>
    <w:fldSimple w:instr="PAGE \* MERGEFORMAT">
      <w:r>
        <w:t xml:space="preserve">1</w:t>
      </w:r>
    </w:fldSimple>
    <w:r/>
    <w:r/>
  </w:p>
  <w:p>
    <w:pPr>
      <w:pStyle w:val="41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1428" w:hanging="360"/>
        <w:tabs>
          <w:tab w:val="num" w:pos="1428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2148" w:hanging="360"/>
        <w:tabs>
          <w:tab w:val="num" w:pos="2148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2868" w:hanging="360"/>
        <w:tabs>
          <w:tab w:val="num" w:pos="2868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3588" w:hanging="360"/>
        <w:tabs>
          <w:tab w:val="num" w:pos="3588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4308" w:hanging="360"/>
        <w:tabs>
          <w:tab w:val="num" w:pos="4308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5028" w:hanging="360"/>
        <w:tabs>
          <w:tab w:val="num" w:pos="5028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5748" w:hanging="360"/>
        <w:tabs>
          <w:tab w:val="num" w:pos="5748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6468" w:hanging="360"/>
        <w:tabs>
          <w:tab w:val="num" w:pos="6468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7188" w:hanging="360"/>
        <w:tabs>
          <w:tab w:val="num" w:pos="7188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2136" w:hanging="360"/>
        <w:tabs>
          <w:tab w:val="num" w:pos="213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2856" w:hanging="360"/>
        <w:tabs>
          <w:tab w:val="num" w:pos="285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3576" w:hanging="360"/>
        <w:tabs>
          <w:tab w:val="num" w:pos="357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4296" w:hanging="360"/>
        <w:tabs>
          <w:tab w:val="num" w:pos="429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5016" w:hanging="360"/>
        <w:tabs>
          <w:tab w:val="num" w:pos="501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5736" w:hanging="360"/>
        <w:tabs>
          <w:tab w:val="num" w:pos="573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6456" w:hanging="360"/>
        <w:tabs>
          <w:tab w:val="num" w:pos="645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7176" w:hanging="360"/>
        <w:tabs>
          <w:tab w:val="num" w:pos="717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7896" w:hanging="360"/>
        <w:tabs>
          <w:tab w:val="num" w:pos="7896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16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616"/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16"/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16"/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16"/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16"/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16"/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16"/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16"/>
        <w:ind w:left="4320" w:hanging="1440"/>
        <w:tabs>
          <w:tab w:val="num" w:pos="46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16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616"/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616"/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16"/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16"/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16"/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16"/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16"/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16"/>
        <w:ind w:left="4320" w:hanging="1440"/>
        <w:tabs>
          <w:tab w:val="num" w:pos="46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2136" w:hanging="360"/>
        <w:tabs>
          <w:tab w:val="num" w:pos="213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2856" w:hanging="360"/>
        <w:tabs>
          <w:tab w:val="num" w:pos="285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3576" w:hanging="360"/>
        <w:tabs>
          <w:tab w:val="num" w:pos="357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4296" w:hanging="360"/>
        <w:tabs>
          <w:tab w:val="num" w:pos="429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5016" w:hanging="360"/>
        <w:tabs>
          <w:tab w:val="num" w:pos="501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5736" w:hanging="360"/>
        <w:tabs>
          <w:tab w:val="num" w:pos="573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6456" w:hanging="360"/>
        <w:tabs>
          <w:tab w:val="num" w:pos="645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7176" w:hanging="360"/>
        <w:tabs>
          <w:tab w:val="num" w:pos="717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7896" w:hanging="360"/>
        <w:tabs>
          <w:tab w:val="num" w:pos="7896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1428" w:hanging="360"/>
        <w:tabs>
          <w:tab w:val="num" w:pos="1428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2148" w:hanging="360"/>
        <w:tabs>
          <w:tab w:val="num" w:pos="2148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2868" w:hanging="360"/>
        <w:tabs>
          <w:tab w:val="num" w:pos="2868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3588" w:hanging="360"/>
        <w:tabs>
          <w:tab w:val="num" w:pos="3588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4308" w:hanging="360"/>
        <w:tabs>
          <w:tab w:val="num" w:pos="4308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5028" w:hanging="360"/>
        <w:tabs>
          <w:tab w:val="num" w:pos="5028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5748" w:hanging="360"/>
        <w:tabs>
          <w:tab w:val="num" w:pos="5748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6468" w:hanging="360"/>
        <w:tabs>
          <w:tab w:val="num" w:pos="6468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7188" w:hanging="360"/>
        <w:tabs>
          <w:tab w:val="num" w:pos="7188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1776" w:hanging="360"/>
        <w:tabs>
          <w:tab w:val="num" w:pos="1776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16"/>
        <w:ind w:left="720" w:hanging="360"/>
        <w:tabs>
          <w:tab w:val="num" w:pos="72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pStyle w:val="616"/>
        <w:tabs>
          <w:tab w:val="num" w:pos="36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6"/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16"/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6"/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6"/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6"/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6"/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6"/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6"/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6"/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16"/>
    <w:next w:val="616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16"/>
    <w:next w:val="616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16"/>
    <w:next w:val="616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16"/>
    <w:next w:val="616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16"/>
    <w:next w:val="616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16"/>
    <w:next w:val="616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16"/>
    <w:next w:val="616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16"/>
    <w:next w:val="616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16"/>
    <w:next w:val="616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16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16"/>
    <w:next w:val="616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616"/>
    <w:next w:val="616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616"/>
    <w:next w:val="616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16"/>
    <w:next w:val="616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16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616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616"/>
    <w:next w:val="6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16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16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ru-RU" w:bidi="ar-SA"/>
    </w:rPr>
  </w:style>
  <w:style w:type="character" w:styleId="617">
    <w:name w:val="Основной шрифт абзаца"/>
    <w:next w:val="617"/>
    <w:link w:val="616"/>
    <w:semiHidden/>
  </w:style>
  <w:style w:type="table" w:styleId="618">
    <w:name w:val="Обычная таблица"/>
    <w:next w:val="618"/>
    <w:link w:val="616"/>
    <w:semiHidden/>
    <w:tblPr/>
  </w:style>
  <w:style w:type="numbering" w:styleId="619">
    <w:name w:val="Нет списка"/>
    <w:next w:val="619"/>
    <w:link w:val="616"/>
    <w:semiHidden/>
  </w:style>
  <w:style w:type="paragraph" w:styleId="620">
    <w:name w:val="Основной текст"/>
    <w:basedOn w:val="616"/>
    <w:next w:val="620"/>
    <w:link w:val="616"/>
    <w:pPr>
      <w:jc w:val="center"/>
    </w:pPr>
    <w:rPr>
      <w:b/>
      <w:szCs w:val="28"/>
    </w:rPr>
  </w:style>
  <w:style w:type="paragraph" w:styleId="621">
    <w:name w:val="Основной текст с отступом"/>
    <w:basedOn w:val="616"/>
    <w:next w:val="621"/>
    <w:link w:val="616"/>
    <w:pPr>
      <w:ind w:left="1068"/>
    </w:pPr>
  </w:style>
  <w:style w:type="paragraph" w:styleId="622">
    <w:name w:val="Основной текст с отступом 2"/>
    <w:basedOn w:val="616"/>
    <w:next w:val="622"/>
    <w:link w:val="616"/>
    <w:pPr>
      <w:ind w:left="708"/>
    </w:pPr>
  </w:style>
  <w:style w:type="character" w:styleId="1267" w:default="1">
    <w:name w:val="Default Paragraph Font"/>
    <w:uiPriority w:val="1"/>
    <w:semiHidden/>
    <w:unhideWhenUsed/>
  </w:style>
  <w:style w:type="numbering" w:styleId="1268" w:default="1">
    <w:name w:val="No List"/>
    <w:uiPriority w:val="99"/>
    <w:semiHidden/>
    <w:unhideWhenUsed/>
  </w:style>
  <w:style w:type="table" w:styleId="12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Р7-Офис/7.2.1.14</Application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договору № 2 от______________</dc:title>
  <dc:creator>noskov</dc:creator>
  <cp:revision>11</cp:revision>
  <dcterms:created xsi:type="dcterms:W3CDTF">2012-01-20T13:02:00Z</dcterms:created>
  <dcterms:modified xsi:type="dcterms:W3CDTF">2023-02-02T11:46:38Z</dcterms:modified>
  <cp:version>917504</cp:version>
</cp:coreProperties>
</file>